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CE2C64" w14:textId="62B0E9DC" w:rsidR="00403E8D" w:rsidRPr="00B36D45" w:rsidRDefault="00B81CCA" w:rsidP="00403E8D">
      <w:pPr>
        <w:pStyle w:val="Heading1"/>
        <w:rPr>
          <w:lang w:val="ro-RO"/>
        </w:rPr>
      </w:pPr>
      <w:r w:rsidRPr="00B36D45">
        <w:rPr>
          <w:lang w:val="ro-RO"/>
        </w:rPr>
        <w:t>Statutul juridic al semnăturilor electronice</w:t>
      </w:r>
    </w:p>
    <w:p w14:paraId="4F8508BC" w14:textId="09122A28" w:rsidR="00C94EDF" w:rsidRPr="00B36D45" w:rsidRDefault="00B81CCA" w:rsidP="00BA32B7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Semnăturile electronice </w:t>
      </w:r>
      <w:r w:rsidR="00BA32B7">
        <w:rPr>
          <w:rFonts w:ascii="Arial" w:eastAsiaTheme="minorHAnsi" w:hAnsi="Arial" w:cstheme="minorBidi"/>
          <w:sz w:val="20"/>
          <w:szCs w:val="22"/>
          <w:lang w:val="ro-RO" w:eastAsia="en-US"/>
        </w:rPr>
        <w:t>te</w:t>
      </w:r>
      <w:r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ajută să </w:t>
      </w:r>
      <w:r w:rsidR="00BA32B7">
        <w:rPr>
          <w:rFonts w:ascii="Arial" w:eastAsiaTheme="minorHAnsi" w:hAnsi="Arial" w:cstheme="minorBidi"/>
          <w:sz w:val="20"/>
          <w:szCs w:val="22"/>
          <w:lang w:val="ro-RO" w:eastAsia="en-US"/>
        </w:rPr>
        <w:t>închei</w:t>
      </w:r>
      <w:r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acorduri juridice rapid și convenabil, dar există câteva considerații de care trebuie să </w:t>
      </w:r>
      <w:r w:rsidR="00BA32B7">
        <w:rPr>
          <w:rFonts w:ascii="Arial" w:eastAsiaTheme="minorHAnsi" w:hAnsi="Arial" w:cstheme="minorBidi"/>
          <w:sz w:val="20"/>
          <w:szCs w:val="22"/>
          <w:lang w:val="ro-RO" w:eastAsia="en-US"/>
        </w:rPr>
        <w:t>ții</w:t>
      </w:r>
      <w:r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cont și o serie de situații când acestea sunt necorespunzătoare.</w:t>
      </w:r>
      <w:r w:rsidR="009A27CA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Validitatea juridică a semnăturilor electronice </w:t>
      </w:r>
      <w:r w:rsidR="002C5567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depinde de modul în care acestea sunt implementate și</w:t>
      </w:r>
      <w:r w:rsidR="00BA32B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de</w:t>
      </w:r>
      <w:r w:rsidR="002C5567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B36D4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legea locală</w:t>
      </w:r>
      <w:r w:rsidR="006C5328">
        <w:rPr>
          <w:rFonts w:ascii="Arial" w:eastAsiaTheme="minorHAnsi" w:hAnsi="Arial" w:cstheme="minorBidi"/>
          <w:sz w:val="20"/>
          <w:szCs w:val="22"/>
          <w:lang w:val="ro-RO" w:eastAsia="en-US"/>
        </w:rPr>
        <w:t>, în Republica Moldova acestea fiind Codul Civil și Legea</w:t>
      </w:r>
      <w:r w:rsidR="00012CE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91/2004</w:t>
      </w:r>
      <w:r w:rsidR="006C5328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6C5328" w:rsidRPr="006C5328">
        <w:rPr>
          <w:rFonts w:ascii="Arial" w:eastAsiaTheme="minorHAnsi" w:hAnsi="Arial" w:cstheme="minorBidi"/>
          <w:sz w:val="20"/>
          <w:szCs w:val="22"/>
          <w:lang w:val="ro-RO" w:eastAsia="en-US"/>
        </w:rPr>
        <w:t>privind semnătura electronică şi documentul electronic</w:t>
      </w:r>
      <w:r w:rsidR="00B36D4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</w:p>
    <w:p w14:paraId="7359B922" w14:textId="6B77858D" w:rsidR="00C94EDF" w:rsidRPr="00B36D45" w:rsidRDefault="00B36D45" w:rsidP="00C94EDF">
      <w:pPr>
        <w:pStyle w:val="Heading2"/>
        <w:rPr>
          <w:lang w:val="ro-RO"/>
        </w:rPr>
      </w:pPr>
      <w:r>
        <w:rPr>
          <w:lang w:val="ro-RO"/>
        </w:rPr>
        <w:t>Validitatea juridică a semnăturilor electronice</w:t>
      </w:r>
    </w:p>
    <w:p w14:paraId="145F3F37" w14:textId="6A235C41" w:rsidR="00C94EDF" w:rsidRPr="00B36D45" w:rsidRDefault="00B36D45" w:rsidP="00BA32B7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Fundamental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trei </w:t>
      </w:r>
      <w:r w:rsidR="00D22072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opțiuni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diferite prevalează în cadrul sistemelor juridice naționale: </w:t>
      </w:r>
    </w:p>
    <w:p w14:paraId="2508CFAA" w14:textId="7BE8C806" w:rsidR="00C94EDF" w:rsidRPr="00B36D45" w:rsidRDefault="00D22072" w:rsidP="00BA32B7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Prima abordare recunoaște exclusiv un singur tip de semnătură electronică cu cel mai înalt grad de securitate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care produce efecte juridice echivalente cu cele ale unei semnături olografe. </w:t>
      </w:r>
    </w:p>
    <w:p w14:paraId="5E136673" w14:textId="60F90973" w:rsidR="00C94EDF" w:rsidRPr="00B36D45" w:rsidRDefault="00D22072" w:rsidP="00BA32B7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Cea de-a doua abordare</w:t>
      </w:r>
      <w:r w:rsidR="00D62BA0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>mai flexibilă, permite părților să aleagă o tehnologie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Pr="00D22072">
        <w:rPr>
          <w:rFonts w:ascii="Arial" w:eastAsiaTheme="minorHAnsi" w:hAnsi="Arial" w:cstheme="minorBidi"/>
          <w:sz w:val="20"/>
          <w:szCs w:val="22"/>
          <w:lang w:val="ro-RO" w:eastAsia="en-US"/>
        </w:rPr>
        <w:t>conferind validitate juridică tuturor tehnologiilor care îndeplinesc un standard minim.</w:t>
      </w:r>
    </w:p>
    <w:p w14:paraId="294E44BD" w14:textId="521BDE19" w:rsidR="00C94EDF" w:rsidRPr="00E210C3" w:rsidRDefault="00D22072" w:rsidP="00BA32B7">
      <w:pPr>
        <w:pStyle w:val="ListParagraph"/>
        <w:numPr>
          <w:ilvl w:val="0"/>
          <w:numId w:val="2"/>
        </w:num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A treia abordare 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B74065">
        <w:rPr>
          <w:rFonts w:ascii="Arial" w:eastAsiaTheme="minorHAnsi" w:hAnsi="Arial" w:cstheme="minorBidi"/>
          <w:sz w:val="20"/>
          <w:szCs w:val="22"/>
          <w:lang w:val="ro-RO" w:eastAsia="en-US"/>
        </w:rPr>
        <w:t>îmbină caracteristicile primelor două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B7406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și este adesea considerată o abordare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>etapizată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: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>aceasta stabilește standarde joase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>pentru ca semnătura să producă efect juridic minim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dar impune cerințe adiționale 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–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de obicei utilizarea metodelor de autentificare avansate 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– </w:t>
      </w:r>
      <w:r w:rsidR="005513EF">
        <w:rPr>
          <w:rFonts w:ascii="Arial" w:eastAsiaTheme="minorHAnsi" w:hAnsi="Arial" w:cstheme="minorBidi"/>
          <w:sz w:val="20"/>
          <w:szCs w:val="22"/>
          <w:lang w:val="ro-RO" w:eastAsia="en-US"/>
        </w:rPr>
        <w:t>pentru ca o semnăt</w:t>
      </w:r>
      <w:r w:rsidR="0066589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ură să obțină un nivel mai înalt al statutului juridic sau să </w:t>
      </w:r>
      <w:r w:rsidR="00E210C3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înlocuiască condiția aplicării semnăturii olografe pentru unele contracte.  </w:t>
      </w:r>
    </w:p>
    <w:p w14:paraId="6B2BF711" w14:textId="03E6946F" w:rsidR="00C94EDF" w:rsidRPr="00B36D45" w:rsidRDefault="007F6106" w:rsidP="00C94EDF">
      <w:pPr>
        <w:pStyle w:val="Heading2"/>
        <w:rPr>
          <w:lang w:val="ro-RO"/>
        </w:rPr>
      </w:pPr>
      <w:r>
        <w:rPr>
          <w:lang w:val="ro-RO"/>
        </w:rPr>
        <w:t xml:space="preserve">Considerații juridice pentru semnăturile electronice </w:t>
      </w:r>
    </w:p>
    <w:p w14:paraId="7DCA087F" w14:textId="7D2DBC84" w:rsidR="00C94EDF" w:rsidRPr="00B36D45" w:rsidRDefault="006B6329" w:rsidP="00BA32B7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Reglementarea de către guverne a autentificării întru-un mediu tehnologic neutru depinde de jurisdicție. Importanța utilizării semnăturilor cu un nivel de securitate ridicat constă în</w:t>
      </w:r>
      <w:r w:rsidR="00F408B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faptul că legiuitorul ar putea atribui acestora anumite</w:t>
      </w:r>
      <w:r w:rsidR="00F5485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prezumții relative. </w:t>
      </w:r>
      <w:r w:rsidR="00F54855" w:rsidRPr="00F54855">
        <w:rPr>
          <w:rFonts w:ascii="Arial" w:eastAsiaTheme="minorHAnsi" w:hAnsi="Arial" w:cstheme="minorBidi"/>
          <w:sz w:val="20"/>
          <w:szCs w:val="22"/>
          <w:lang w:val="ro-RO" w:eastAsia="en-US"/>
        </w:rPr>
        <w:t>Prin urmare, o semnătură ar fi considerată drept dovadă suficientă a faptului presupus de către instanțe.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</w:p>
    <w:p w14:paraId="2EE77312" w14:textId="6DFB97D0" w:rsidR="00C94EDF" w:rsidRPr="00B36D45" w:rsidRDefault="002A5047" w:rsidP="00B31C29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Per general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legea nu deosebește validitatea unui email sau a înserării unei semnături sub formă unei imagini într-un contract electronic și utilizarea unui sistem de </w:t>
      </w:r>
      <w:r>
        <w:rPr>
          <w:rFonts w:ascii="Arial" w:eastAsiaTheme="minorHAnsi" w:hAnsi="Arial" w:cstheme="minorBidi"/>
          <w:i/>
          <w:iCs/>
          <w:sz w:val="20"/>
          <w:szCs w:val="22"/>
          <w:lang w:val="ro-RO" w:eastAsia="en-US"/>
        </w:rPr>
        <w:t xml:space="preserve">cloud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>pentru executarea unui acord</w:t>
      </w:r>
      <w:r w:rsidR="00012CE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în ambele situații prezumându-se consimțământul părților la încheierea 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>acestuia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până când existența 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consimțământului 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>nu este contestată</w:t>
      </w:r>
      <w:r w:rsidR="00012CED">
        <w:rPr>
          <w:rFonts w:ascii="Arial" w:eastAsiaTheme="minorHAnsi" w:hAnsi="Arial" w:cstheme="minorBidi"/>
          <w:sz w:val="20"/>
          <w:szCs w:val="22"/>
          <w:lang w:val="ro-RO" w:eastAsia="en-US"/>
        </w:rPr>
        <w:t>. Cu toate acestea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>, în Republica Moldova, un act juridic încheiat</w:t>
      </w:r>
      <w:r w:rsidR="00B31C29" w:rsidRPr="00B31C29">
        <w:t xml:space="preserve"> </w:t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>prin utilizarea oricărui mijloc electronic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altul decât </w:t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semnătura electronică prevăzută 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>de Legea 91/2004, nu este echivalent cu cel încheiat în formă scrisă</w:t>
      </w:r>
      <w:r w:rsidR="00B31C29">
        <w:rPr>
          <w:rStyle w:val="FootnoteReference"/>
          <w:rFonts w:ascii="Arial" w:eastAsiaTheme="minorHAnsi" w:hAnsi="Arial" w:cstheme="minorBidi"/>
          <w:sz w:val="20"/>
          <w:szCs w:val="22"/>
          <w:lang w:val="ro-RO" w:eastAsia="en-US"/>
        </w:rPr>
        <w:footnoteReference w:id="1"/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. Legea sus-numită distinge 3 tipuri de semnături electronice, și anume: </w:t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>semnătura electronică simplă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>semnătura electronică avansată necalificată</w:t>
      </w:r>
      <w:r w:rsidR="00B31C29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și </w:t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>semnătura electronică avansată calificată</w:t>
      </w:r>
      <w:r w:rsidR="00D5416D">
        <w:rPr>
          <w:rStyle w:val="FootnoteReference"/>
          <w:rFonts w:ascii="Arial" w:eastAsiaTheme="minorHAnsi" w:hAnsi="Arial" w:cstheme="minorBidi"/>
          <w:sz w:val="20"/>
          <w:szCs w:val="22"/>
          <w:lang w:val="ro-RO" w:eastAsia="en-US"/>
        </w:rPr>
        <w:footnoteReference w:id="2"/>
      </w:r>
      <w:r w:rsidR="00B31C29" w:rsidRPr="00B31C29">
        <w:rPr>
          <w:rFonts w:ascii="Arial" w:eastAsiaTheme="minorHAnsi" w:hAnsi="Arial" w:cstheme="minorBidi"/>
          <w:sz w:val="20"/>
          <w:szCs w:val="22"/>
          <w:lang w:val="ro-RO" w:eastAsia="en-US"/>
        </w:rPr>
        <w:t>.</w:t>
      </w:r>
    </w:p>
    <w:p w14:paraId="0598EAD2" w14:textId="667ADA05" w:rsidR="00C94EDF" w:rsidRPr="00B36D45" w:rsidRDefault="002A5047" w:rsidP="00BA32B7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Cu toate acestea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un sistem de </w:t>
      </w:r>
      <w:r>
        <w:rPr>
          <w:rFonts w:ascii="Arial" w:eastAsiaTheme="minorHAnsi" w:hAnsi="Arial" w:cstheme="minorBidi"/>
          <w:i/>
          <w:iCs/>
          <w:sz w:val="20"/>
          <w:szCs w:val="22"/>
          <w:lang w:val="ro-RO" w:eastAsia="en-US"/>
        </w:rPr>
        <w:t xml:space="preserve">cloud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>este de regulă,</w:t>
      </w:r>
      <w:r w:rsidR="00BC3C2A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mai fiabil decât un simplu schimb de email-uri, pentru că un sistem de </w:t>
      </w:r>
      <w:r w:rsidR="00BC3C2A">
        <w:rPr>
          <w:rFonts w:ascii="Arial" w:eastAsiaTheme="minorHAnsi" w:hAnsi="Arial" w:cstheme="minorBidi"/>
          <w:i/>
          <w:iCs/>
          <w:sz w:val="20"/>
          <w:szCs w:val="22"/>
          <w:lang w:val="ro-RO" w:eastAsia="en-US"/>
        </w:rPr>
        <w:t xml:space="preserve">cloud </w:t>
      </w:r>
      <w:r w:rsidR="00BC3C2A">
        <w:rPr>
          <w:rFonts w:ascii="Arial" w:eastAsiaTheme="minorHAnsi" w:hAnsi="Arial" w:cstheme="minorBidi"/>
          <w:sz w:val="20"/>
          <w:szCs w:val="22"/>
          <w:lang w:val="ro-RO" w:eastAsia="en-US"/>
        </w:rPr>
        <w:t>va produce un certificat digital, înregistrând semnatarul, timpul și data semnării, și adresa IP utilizată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. </w:t>
      </w:r>
      <w:r w:rsidR="00BC3C2A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Acesta potențial va deține o valoare mai mare în instanța de judecată </w:t>
      </w:r>
      <w:r w:rsidR="00780AED">
        <w:rPr>
          <w:rFonts w:ascii="Arial" w:eastAsiaTheme="minorHAnsi" w:hAnsi="Arial" w:cstheme="minorBidi"/>
          <w:sz w:val="20"/>
          <w:szCs w:val="22"/>
          <w:lang w:val="ro-RO" w:eastAsia="en-US"/>
        </w:rPr>
        <w:t>decât un simplu acord cu condițiile unui contract prin intermediul unui simplu schimb de email-uri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.</w:t>
      </w:r>
      <w:r w:rsidR="00780AE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780AED">
        <w:rPr>
          <w:rFonts w:ascii="Arial" w:eastAsiaTheme="minorHAnsi" w:hAnsi="Arial" w:cstheme="minorBidi"/>
          <w:sz w:val="20"/>
          <w:szCs w:val="22"/>
          <w:lang w:val="ro-RO" w:eastAsia="en-US"/>
        </w:rPr>
        <w:t>Totuși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780AE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majoritatea </w:t>
      </w:r>
      <w:r w:rsidR="0052605A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sistemelor de </w:t>
      </w:r>
      <w:r w:rsidR="0052605A">
        <w:rPr>
          <w:rFonts w:ascii="Arial" w:eastAsiaTheme="minorHAnsi" w:hAnsi="Arial" w:cstheme="minorBidi"/>
          <w:i/>
          <w:iCs/>
          <w:sz w:val="20"/>
          <w:szCs w:val="22"/>
          <w:lang w:val="ro-RO" w:eastAsia="en-US"/>
        </w:rPr>
        <w:t xml:space="preserve">cloud </w:t>
      </w:r>
      <w:r w:rsidR="0052605A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se confruntă cu confirmarea identității persoane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lor</w:t>
      </w:r>
      <w:r w:rsidR="0052605A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care semnează contractul. </w:t>
      </w:r>
    </w:p>
    <w:p w14:paraId="1AADFBB4" w14:textId="213A848B" w:rsidR="00D5416D" w:rsidRDefault="0052605A" w:rsidP="00BA32B7">
      <w:pPr>
        <w:spacing w:after="160" w:line="259" w:lineRule="auto"/>
        <w:jc w:val="both"/>
        <w:rPr>
          <w:rFonts w:ascii="Arial" w:eastAsiaTheme="minorHAnsi" w:hAnsi="Arial" w:cstheme="minorBidi"/>
          <w:sz w:val="20"/>
          <w:szCs w:val="22"/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>Prin urmare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>în cadrul anumitor jurisdicții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>, inclusiv și în Republica Moldova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>legea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impune și alte cerințe pentru 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>executarea anumitor contracte</w:t>
      </w:r>
      <w:r w:rsidR="00A635B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spre exemplu,</w:t>
      </w:r>
      <w:r w:rsidR="00A635B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pentru </w:t>
      </w:r>
      <w:r w:rsidR="00A635B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392CCB">
        <w:rPr>
          <w:rFonts w:ascii="Arial" w:eastAsiaTheme="minorHAnsi" w:hAnsi="Arial" w:cstheme="minorBidi"/>
          <w:sz w:val="20"/>
          <w:szCs w:val="22"/>
          <w:lang w:val="ro-RO" w:eastAsia="en-US"/>
        </w:rPr>
        <w:t>acte</w:t>
      </w:r>
      <w:r w:rsidR="002821E3">
        <w:rPr>
          <w:rFonts w:ascii="Arial" w:eastAsiaTheme="minorHAnsi" w:hAnsi="Arial" w:cstheme="minorBidi"/>
          <w:sz w:val="20"/>
          <w:szCs w:val="22"/>
          <w:lang w:val="ro-RO" w:eastAsia="en-US"/>
        </w:rPr>
        <w:t>le</w:t>
      </w:r>
      <w:r w:rsidR="00A635B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>sau contracte</w:t>
      </w:r>
      <w:r w:rsidR="002821E3">
        <w:rPr>
          <w:rFonts w:ascii="Arial" w:eastAsiaTheme="minorHAnsi" w:hAnsi="Arial" w:cstheme="minorBidi"/>
          <w:sz w:val="20"/>
          <w:szCs w:val="22"/>
          <w:lang w:val="ro-RO" w:eastAsia="en-US"/>
        </w:rPr>
        <w:t>le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>translative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de drepturi asupra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bunuri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lor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imobile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2821E3">
        <w:rPr>
          <w:rFonts w:ascii="Arial" w:eastAsiaTheme="minorHAnsi" w:hAnsi="Arial" w:cstheme="minorBidi"/>
          <w:sz w:val="20"/>
          <w:szCs w:val="22"/>
          <w:lang w:val="ro-RO" w:eastAsia="en-US"/>
        </w:rPr>
        <w:t>în modul în care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0E6481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aplicarea 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>semnătur</w:t>
      </w:r>
      <w:r w:rsidR="000E6481">
        <w:rPr>
          <w:rFonts w:ascii="Arial" w:eastAsiaTheme="minorHAnsi" w:hAnsi="Arial" w:cstheme="minorBidi"/>
          <w:sz w:val="20"/>
          <w:szCs w:val="22"/>
          <w:lang w:val="ro-RO" w:eastAsia="en-US"/>
        </w:rPr>
        <w:t>ii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electronic</w:t>
      </w:r>
      <w:r w:rsidR="000E6481">
        <w:rPr>
          <w:rFonts w:ascii="Arial" w:eastAsiaTheme="minorHAnsi" w:hAnsi="Arial" w:cstheme="minorBidi"/>
          <w:sz w:val="20"/>
          <w:szCs w:val="22"/>
          <w:lang w:val="ro-RO" w:eastAsia="en-US"/>
        </w:rPr>
        <w:t>e</w:t>
      </w:r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0E6481">
        <w:rPr>
          <w:rFonts w:ascii="Arial" w:eastAsiaTheme="minorHAnsi" w:hAnsi="Arial" w:cstheme="minorBidi"/>
          <w:sz w:val="20"/>
          <w:szCs w:val="22"/>
          <w:lang w:val="ro-RO" w:eastAsia="en-US"/>
        </w:rPr>
        <w:t>trebuie să fie coordonată cu un notar</w:t>
      </w:r>
      <w:bookmarkStart w:id="0" w:name="_GoBack"/>
      <w:bookmarkEnd w:id="0"/>
      <w:r w:rsidR="00D5416D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în astfel de acorduri încheiate dintre părți</w:t>
      </w:r>
      <w:r w:rsidR="00A635B5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.</w:t>
      </w:r>
      <w:r w:rsidR="00C94EDF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>În alte cuvinte,</w:t>
      </w:r>
      <w:r w:rsidR="001E45A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E42694">
        <w:rPr>
          <w:rFonts w:ascii="Arial" w:eastAsiaTheme="minorHAnsi" w:hAnsi="Arial" w:cstheme="minorBidi"/>
          <w:sz w:val="20"/>
          <w:szCs w:val="22"/>
          <w:lang w:val="ro-RO" w:eastAsia="en-US"/>
        </w:rPr>
        <w:t>chiar dacă semnăturile electronice sunt de regulă valabile, acestea ar putea să nu servească pentru orice tip de contract și semnătura olografă poate fi obliga</w:t>
      </w:r>
      <w:r w:rsidR="001E45A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torie. </w:t>
      </w:r>
    </w:p>
    <w:p w14:paraId="73488652" w14:textId="4734511B" w:rsidR="00BA32B7" w:rsidRPr="00B36D45" w:rsidRDefault="006571EC" w:rsidP="000E6481">
      <w:pPr>
        <w:spacing w:after="160" w:line="259" w:lineRule="auto"/>
        <w:jc w:val="both"/>
        <w:rPr>
          <w:lang w:val="ro-RO" w:eastAsia="en-US"/>
        </w:rPr>
      </w:pP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Sisteme de </w:t>
      </w:r>
      <w:r>
        <w:rPr>
          <w:rFonts w:ascii="Arial" w:eastAsiaTheme="minorHAnsi" w:hAnsi="Arial" w:cstheme="minorBidi"/>
          <w:i/>
          <w:iCs/>
          <w:sz w:val="20"/>
          <w:szCs w:val="22"/>
          <w:lang w:val="ro-RO" w:eastAsia="en-US"/>
        </w:rPr>
        <w:t xml:space="preserve">cloud 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>care oferă semnături electronice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de regul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>ă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,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nu satisfac cerințele pentru a înlocui semnăturile olografe pentru acte translative de 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drepturi asupra 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>bunuri</w:t>
      </w:r>
      <w:r w:rsidR="00FB123E">
        <w:rPr>
          <w:rFonts w:ascii="Arial" w:eastAsiaTheme="minorHAnsi" w:hAnsi="Arial" w:cstheme="minorBidi"/>
          <w:sz w:val="20"/>
          <w:szCs w:val="22"/>
          <w:lang w:val="ro-RO" w:eastAsia="en-US"/>
        </w:rPr>
        <w:t>lor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imobile</w:t>
      </w:r>
      <w:r w:rsidR="009F69DA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.</w:t>
      </w:r>
      <w:r w:rsidR="007E66D1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>Totuși</w:t>
      </w:r>
      <w:r w:rsidR="007E66D1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, </w:t>
      </w:r>
      <w:r w:rsidR="00737127">
        <w:rPr>
          <w:rFonts w:ascii="Arial" w:eastAsiaTheme="minorHAnsi" w:hAnsi="Arial" w:cstheme="minorBidi"/>
          <w:sz w:val="20"/>
          <w:szCs w:val="22"/>
          <w:lang w:val="ro-RO" w:eastAsia="en-US"/>
        </w:rPr>
        <w:t>aceasta va depinde în mare parte de jurisdicția dvs</w:t>
      </w:r>
      <w:r w:rsidR="00393B62" w:rsidRPr="00B36D45">
        <w:rPr>
          <w:rFonts w:ascii="Arial" w:eastAsiaTheme="minorHAnsi" w:hAnsi="Arial" w:cstheme="minorBidi"/>
          <w:sz w:val="20"/>
          <w:szCs w:val="22"/>
          <w:lang w:val="ro-RO" w:eastAsia="en-US"/>
        </w:rPr>
        <w:t>.</w:t>
      </w:r>
      <w:r w:rsidR="00BA32B7">
        <w:rPr>
          <w:rFonts w:ascii="Arial" w:eastAsiaTheme="minorHAnsi" w:hAnsi="Arial" w:cstheme="minorBidi"/>
          <w:sz w:val="20"/>
          <w:szCs w:val="22"/>
          <w:lang w:val="ro-RO" w:eastAsia="en-US"/>
        </w:rPr>
        <w:t xml:space="preserve"> </w:t>
      </w:r>
    </w:p>
    <w:sectPr w:rsidR="00BA32B7" w:rsidRPr="00B36D45" w:rsidSect="000E6481">
      <w:pgSz w:w="12240" w:h="15840" w:code="1"/>
      <w:pgMar w:top="810" w:right="1800" w:bottom="99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440B1B" w14:textId="77777777" w:rsidR="00961D0A" w:rsidRDefault="00961D0A" w:rsidP="00410FA4">
      <w:r>
        <w:separator/>
      </w:r>
    </w:p>
  </w:endnote>
  <w:endnote w:type="continuationSeparator" w:id="0">
    <w:p w14:paraId="450AD2F8" w14:textId="77777777" w:rsidR="00961D0A" w:rsidRDefault="00961D0A" w:rsidP="00410F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6D3453" w14:textId="77777777" w:rsidR="00961D0A" w:rsidRDefault="00961D0A" w:rsidP="00410FA4">
      <w:r>
        <w:separator/>
      </w:r>
    </w:p>
  </w:footnote>
  <w:footnote w:type="continuationSeparator" w:id="0">
    <w:p w14:paraId="7E381384" w14:textId="77777777" w:rsidR="00961D0A" w:rsidRDefault="00961D0A" w:rsidP="00410FA4">
      <w:r>
        <w:continuationSeparator/>
      </w:r>
    </w:p>
  </w:footnote>
  <w:footnote w:id="1">
    <w:p w14:paraId="4DFC349E" w14:textId="4153632B" w:rsidR="00B31C29" w:rsidRPr="000E6481" w:rsidRDefault="00B31C29">
      <w:pPr>
        <w:pStyle w:val="FootnoteText"/>
        <w:rPr>
          <w:rFonts w:ascii="Arial" w:hAnsi="Arial" w:cs="Arial"/>
          <w:lang w:val="ro-RO"/>
        </w:rPr>
      </w:pPr>
      <w:r w:rsidRPr="000E6481">
        <w:rPr>
          <w:rStyle w:val="FootnoteReference"/>
          <w:rFonts w:ascii="Arial" w:hAnsi="Arial" w:cs="Arial"/>
          <w:sz w:val="18"/>
          <w:szCs w:val="18"/>
        </w:rPr>
        <w:footnoteRef/>
      </w:r>
      <w:r w:rsidRPr="000E6481">
        <w:rPr>
          <w:rFonts w:ascii="Arial" w:hAnsi="Arial" w:cs="Arial"/>
          <w:sz w:val="18"/>
          <w:szCs w:val="18"/>
        </w:rPr>
        <w:t xml:space="preserve"> </w:t>
      </w:r>
      <w:r w:rsidRPr="000E6481">
        <w:rPr>
          <w:rFonts w:ascii="Arial" w:hAnsi="Arial" w:cs="Arial"/>
          <w:sz w:val="18"/>
          <w:szCs w:val="18"/>
          <w:lang w:val="ro-RO"/>
        </w:rPr>
        <w:t xml:space="preserve">art. </w:t>
      </w:r>
      <w:r w:rsidRPr="000E6481">
        <w:rPr>
          <w:rFonts w:ascii="Arial" w:eastAsia="Times New Roman" w:hAnsi="Arial" w:cs="Arial"/>
          <w:sz w:val="18"/>
          <w:szCs w:val="18"/>
          <w:lang w:val="ro-RO"/>
        </w:rPr>
        <w:t xml:space="preserve">319 alin. </w:t>
      </w:r>
      <w:r w:rsidR="00D5416D">
        <w:rPr>
          <w:rFonts w:ascii="Arial" w:eastAsia="Times New Roman" w:hAnsi="Arial" w:cs="Arial"/>
          <w:sz w:val="18"/>
          <w:szCs w:val="18"/>
          <w:lang w:val="ro-RO"/>
        </w:rPr>
        <w:t>4</w:t>
      </w:r>
      <w:r w:rsidRPr="000E6481">
        <w:rPr>
          <w:rFonts w:ascii="Arial" w:eastAsia="Times New Roman" w:hAnsi="Arial" w:cs="Arial"/>
          <w:sz w:val="18"/>
          <w:szCs w:val="18"/>
          <w:lang w:val="ro-RO"/>
        </w:rPr>
        <w:t xml:space="preserve"> din Codul Civil</w:t>
      </w:r>
    </w:p>
  </w:footnote>
  <w:footnote w:id="2">
    <w:p w14:paraId="5754E735" w14:textId="39C95933" w:rsidR="00D5416D" w:rsidRPr="000E6481" w:rsidRDefault="00D5416D">
      <w:pPr>
        <w:pStyle w:val="FootnoteText"/>
        <w:rPr>
          <w:lang w:val="ro-RO"/>
        </w:rPr>
      </w:pPr>
      <w:r>
        <w:rPr>
          <w:rStyle w:val="FootnoteReference"/>
        </w:rPr>
        <w:footnoteRef/>
      </w:r>
      <w:r>
        <w:t xml:space="preserve"> </w:t>
      </w:r>
      <w:r>
        <w:rPr>
          <w:rFonts w:ascii="Arial" w:hAnsi="Arial" w:cs="Arial"/>
          <w:sz w:val="18"/>
          <w:szCs w:val="18"/>
          <w:lang w:val="ro-RO"/>
        </w:rPr>
        <w:t>art</w:t>
      </w:r>
      <w:r w:rsidRPr="000E6481">
        <w:rPr>
          <w:rFonts w:ascii="Arial" w:hAnsi="Arial" w:cs="Arial"/>
          <w:sz w:val="18"/>
          <w:szCs w:val="18"/>
          <w:lang w:val="ro-RO"/>
        </w:rPr>
        <w:t xml:space="preserve">. 4 alin 1 din </w:t>
      </w:r>
      <w:r w:rsidRPr="000E6481">
        <w:rPr>
          <w:rFonts w:ascii="Arial" w:eastAsiaTheme="minorHAnsi" w:hAnsi="Arial" w:cs="Arial"/>
          <w:sz w:val="18"/>
          <w:lang w:val="ro-RO" w:eastAsia="en-US"/>
        </w:rPr>
        <w:t>Legea 91/2004 privind semnătura electronică şi documentul electronic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B2431DB"/>
    <w:multiLevelType w:val="hybridMultilevel"/>
    <w:tmpl w:val="092C5248"/>
    <w:lvl w:ilvl="0" w:tplc="A73ADA58"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E895FDE"/>
    <w:multiLevelType w:val="hybridMultilevel"/>
    <w:tmpl w:val="6DFE2EA6"/>
    <w:lvl w:ilvl="0" w:tplc="1862BA80">
      <w:numFmt w:val="bullet"/>
      <w:lvlText w:val=""/>
      <w:lvlJc w:val="left"/>
      <w:pPr>
        <w:ind w:left="360" w:hanging="360"/>
      </w:pPr>
      <w:rPr>
        <w:rFonts w:ascii="Symbol" w:eastAsiaTheme="minorHAnsi" w:hAnsi="Symbol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E8D"/>
    <w:rsid w:val="000005C8"/>
    <w:rsid w:val="00012CED"/>
    <w:rsid w:val="000B4E38"/>
    <w:rsid w:val="000E6481"/>
    <w:rsid w:val="001B6474"/>
    <w:rsid w:val="001E45A7"/>
    <w:rsid w:val="002821E3"/>
    <w:rsid w:val="002A5047"/>
    <w:rsid w:val="002C5567"/>
    <w:rsid w:val="003141B7"/>
    <w:rsid w:val="00337AD8"/>
    <w:rsid w:val="003506D8"/>
    <w:rsid w:val="00392CCB"/>
    <w:rsid w:val="00393B62"/>
    <w:rsid w:val="003B4539"/>
    <w:rsid w:val="003C3A65"/>
    <w:rsid w:val="003E0260"/>
    <w:rsid w:val="00403E8D"/>
    <w:rsid w:val="00410FA4"/>
    <w:rsid w:val="004A7A08"/>
    <w:rsid w:val="0052605A"/>
    <w:rsid w:val="005320E7"/>
    <w:rsid w:val="005513EF"/>
    <w:rsid w:val="00585706"/>
    <w:rsid w:val="005A1DFE"/>
    <w:rsid w:val="006571EC"/>
    <w:rsid w:val="00665899"/>
    <w:rsid w:val="00692897"/>
    <w:rsid w:val="006A5CC6"/>
    <w:rsid w:val="006B6329"/>
    <w:rsid w:val="006C5328"/>
    <w:rsid w:val="006D0EA5"/>
    <w:rsid w:val="00737127"/>
    <w:rsid w:val="00780AED"/>
    <w:rsid w:val="0078245E"/>
    <w:rsid w:val="007B257D"/>
    <w:rsid w:val="007C001B"/>
    <w:rsid w:val="007E66D1"/>
    <w:rsid w:val="007F6106"/>
    <w:rsid w:val="00821F81"/>
    <w:rsid w:val="008430CC"/>
    <w:rsid w:val="008B2A55"/>
    <w:rsid w:val="008F2F92"/>
    <w:rsid w:val="00961D0A"/>
    <w:rsid w:val="009A27CA"/>
    <w:rsid w:val="009F69DA"/>
    <w:rsid w:val="00A62D6F"/>
    <w:rsid w:val="00A635B5"/>
    <w:rsid w:val="00B31C29"/>
    <w:rsid w:val="00B36D45"/>
    <w:rsid w:val="00B74065"/>
    <w:rsid w:val="00B81CCA"/>
    <w:rsid w:val="00BA32B7"/>
    <w:rsid w:val="00BC3C2A"/>
    <w:rsid w:val="00C31EAB"/>
    <w:rsid w:val="00C94EDF"/>
    <w:rsid w:val="00CB0DAA"/>
    <w:rsid w:val="00D22072"/>
    <w:rsid w:val="00D5416D"/>
    <w:rsid w:val="00D62BA0"/>
    <w:rsid w:val="00DB7734"/>
    <w:rsid w:val="00DC6082"/>
    <w:rsid w:val="00DE27E3"/>
    <w:rsid w:val="00E210C3"/>
    <w:rsid w:val="00E42694"/>
    <w:rsid w:val="00E879BC"/>
    <w:rsid w:val="00EB2990"/>
    <w:rsid w:val="00F408BD"/>
    <w:rsid w:val="00F54855"/>
    <w:rsid w:val="00FB1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4766F7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MS Mincho" w:hAnsi="Times New Roman" w:cs="Times New Roman"/>
        <w:sz w:val="24"/>
        <w:szCs w:val="24"/>
        <w:lang w:val="en-GB" w:eastAsia="ja-JP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Definition" w:semiHidden="1" w:unhideWhenUsed="1"/>
    <w:lsdException w:name="HTML Keyboard" w:semiHidden="1" w:unhideWhenUsed="1"/>
    <w:lsdException w:name="HTML Typewriter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3E8D"/>
    <w:pPr>
      <w:keepNext/>
      <w:keepLines/>
      <w:spacing w:before="24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Heading2">
    <w:name w:val="heading 2"/>
    <w:basedOn w:val="Normal"/>
    <w:next w:val="Normal"/>
    <w:link w:val="Heading2Char"/>
    <w:unhideWhenUsed/>
    <w:qFormat/>
    <w:rsid w:val="00C94EDF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3E8D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C94ED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ListParagraph">
    <w:name w:val="List Paragraph"/>
    <w:basedOn w:val="Normal"/>
    <w:uiPriority w:val="34"/>
    <w:qFormat/>
    <w:rsid w:val="00C94EDF"/>
    <w:pPr>
      <w:ind w:left="720"/>
      <w:contextualSpacing/>
    </w:pPr>
  </w:style>
  <w:style w:type="paragraph" w:styleId="Header">
    <w:name w:val="header"/>
    <w:basedOn w:val="Normal"/>
    <w:link w:val="HeaderChar"/>
    <w:rsid w:val="00410FA4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rsid w:val="00410FA4"/>
  </w:style>
  <w:style w:type="paragraph" w:styleId="Footer">
    <w:name w:val="footer"/>
    <w:basedOn w:val="Normal"/>
    <w:link w:val="FooterChar"/>
    <w:rsid w:val="00410FA4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rsid w:val="00410FA4"/>
  </w:style>
  <w:style w:type="character" w:styleId="CommentReference">
    <w:name w:val="annotation reference"/>
    <w:basedOn w:val="DefaultParagraphFont"/>
    <w:rsid w:val="005320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5320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5320E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rsid w:val="005320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320E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semiHidden/>
    <w:unhideWhenUsed/>
    <w:rsid w:val="005320E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5320E7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F69DA"/>
    <w:rPr>
      <w:color w:val="0000FF"/>
      <w:u w:val="single"/>
    </w:rPr>
  </w:style>
  <w:style w:type="character" w:styleId="FollowedHyperlink">
    <w:name w:val="FollowedHyperlink"/>
    <w:basedOn w:val="DefaultParagraphFont"/>
    <w:rsid w:val="009F69DA"/>
    <w:rPr>
      <w:color w:val="954F72" w:themeColor="followedHyperlink"/>
      <w:u w:val="single"/>
    </w:rPr>
  </w:style>
  <w:style w:type="paragraph" w:styleId="Quote">
    <w:name w:val="Quote"/>
    <w:basedOn w:val="Normal"/>
    <w:next w:val="Normal"/>
    <w:link w:val="QuoteChar"/>
    <w:uiPriority w:val="29"/>
    <w:qFormat/>
    <w:rsid w:val="00BA32B7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32B7"/>
    <w:rPr>
      <w:i/>
      <w:iCs/>
      <w:color w:val="404040" w:themeColor="text1" w:themeTint="BF"/>
    </w:rPr>
  </w:style>
  <w:style w:type="paragraph" w:styleId="FootnoteText">
    <w:name w:val="footnote text"/>
    <w:basedOn w:val="Normal"/>
    <w:link w:val="FootnoteTextChar"/>
    <w:rsid w:val="00B31C29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B31C29"/>
    <w:rPr>
      <w:sz w:val="20"/>
      <w:szCs w:val="20"/>
    </w:rPr>
  </w:style>
  <w:style w:type="character" w:styleId="FootnoteReference">
    <w:name w:val="footnote reference"/>
    <w:basedOn w:val="DefaultParagraphFont"/>
    <w:rsid w:val="00B31C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06693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1d45786f-a737-4735-8af6-df12fb6939a2" origin="userSelected"/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E6A669-764A-4087-8149-9288BF818A1E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F8CDD9AA-908E-4835-B8E1-44FD79D3BF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586</Words>
  <Characters>3344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>[EBRD]</cp:keywords>
  <dc:description/>
  <cp:lastModifiedBy/>
  <cp:revision>1</cp:revision>
  <dcterms:created xsi:type="dcterms:W3CDTF">2021-02-03T13:11:00Z</dcterms:created>
  <dcterms:modified xsi:type="dcterms:W3CDTF">2021-07-14T06:32:00Z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53a7e063-2ada-4c4d-9f04-df0d2390038d</vt:lpwstr>
  </property>
  <property fmtid="{D5CDD505-2E9C-101B-9397-08002B2CF9AE}" pid="3" name="bjSaver">
    <vt:lpwstr>bpbMpDnr6W6Rsu6hrrL0pm3X/CpLpDq2</vt:lpwstr>
  </property>
  <property fmtid="{D5CDD505-2E9C-101B-9397-08002B2CF9AE}" pid="4" name="bjDocumentSecurityLabel">
    <vt:lpwstr>This item has no classification</vt:lpwstr>
  </property>
</Properties>
</file>